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4"/>
      </w:tblGrid>
      <w:tr w:rsidR="00AE7762" w:rsidRPr="00790248" w14:paraId="0DEE591F" w14:textId="77777777" w:rsidTr="00587531">
        <w:trPr>
          <w:trHeight w:val="227"/>
        </w:trPr>
        <w:tc>
          <w:tcPr>
            <w:tcW w:w="9924" w:type="dxa"/>
            <w:tcBorders>
              <w:top w:val="nil"/>
              <w:left w:val="nil"/>
              <w:bottom w:val="nil"/>
              <w:right w:val="nil"/>
            </w:tcBorders>
            <w:shd w:val="clear" w:color="auto" w:fill="auto"/>
            <w:vAlign w:val="center"/>
          </w:tcPr>
          <w:p w14:paraId="77C9BB55" w14:textId="77777777" w:rsidR="00AE7762" w:rsidRDefault="00AE7762" w:rsidP="00587531">
            <w:pPr>
              <w:tabs>
                <w:tab w:val="center" w:pos="4513"/>
                <w:tab w:val="right" w:pos="9026"/>
              </w:tabs>
              <w:spacing w:line="240" w:lineRule="auto"/>
              <w:rPr>
                <w:rFonts w:ascii="Montserrat ExtraBold" w:eastAsia="Times New Roman" w:hAnsi="Montserrat ExtraBold" w:cs="Tahoma"/>
                <w:b/>
                <w:bCs/>
                <w:sz w:val="28"/>
                <w:szCs w:val="28"/>
                <w:lang w:eastAsia="en-GB"/>
              </w:rPr>
            </w:pPr>
            <w:r w:rsidRPr="00790248">
              <w:rPr>
                <w:rFonts w:ascii="Montserrat ExtraBold" w:eastAsia="Times New Roman" w:hAnsi="Montserrat ExtraBold" w:cs="Tahoma"/>
                <w:b/>
                <w:bCs/>
                <w:sz w:val="28"/>
                <w:szCs w:val="28"/>
                <w:lang w:eastAsia="en-GB"/>
              </w:rPr>
              <w:t xml:space="preserve">                    </w:t>
            </w:r>
            <w:r w:rsidRPr="00790248">
              <w:rPr>
                <w:rFonts w:ascii="Montserrat ExtraBold" w:eastAsia="Times New Roman" w:hAnsi="Montserrat ExtraBold" w:cs="Tahoma"/>
                <w:b/>
                <w:bCs/>
                <w:sz w:val="28"/>
                <w:szCs w:val="28"/>
                <w:lang w:eastAsia="en-GB"/>
              </w:rPr>
              <w:fldChar w:fldCharType="begin"/>
            </w:r>
            <w:r w:rsidRPr="00790248">
              <w:rPr>
                <w:rFonts w:ascii="Montserrat ExtraBold" w:eastAsia="Times New Roman" w:hAnsi="Montserrat ExtraBold" w:cs="Tahoma"/>
                <w:b/>
                <w:bCs/>
                <w:sz w:val="28"/>
                <w:szCs w:val="28"/>
                <w:lang w:eastAsia="en-GB"/>
              </w:rPr>
              <w:instrText xml:space="preserve">DOCPROPERTY DS_PROPERTY_1100  \* MERGEFORMAT </w:instrText>
            </w:r>
            <w:r w:rsidRPr="00790248">
              <w:rPr>
                <w:rFonts w:ascii="Montserrat ExtraBold" w:eastAsia="Times New Roman" w:hAnsi="Montserrat ExtraBold" w:cs="Tahoma"/>
                <w:b/>
                <w:bCs/>
                <w:sz w:val="28"/>
                <w:szCs w:val="28"/>
                <w:lang w:eastAsia="en-GB"/>
              </w:rPr>
              <w:fldChar w:fldCharType="separate"/>
            </w:r>
            <w:r w:rsidRPr="00790248">
              <w:rPr>
                <w:rFonts w:ascii="Montserrat ExtraBold" w:eastAsia="Times New Roman" w:hAnsi="Montserrat ExtraBold" w:cs="Tahoma"/>
                <w:b/>
                <w:bCs/>
                <w:sz w:val="28"/>
                <w:szCs w:val="28"/>
                <w:lang w:eastAsia="en-GB"/>
              </w:rPr>
              <w:t>Guidance on completing</w:t>
            </w:r>
            <w:r>
              <w:rPr>
                <w:rFonts w:ascii="Montserrat ExtraBold" w:eastAsia="Times New Roman" w:hAnsi="Montserrat ExtraBold" w:cs="Tahoma"/>
                <w:b/>
                <w:bCs/>
                <w:sz w:val="28"/>
                <w:szCs w:val="28"/>
                <w:lang w:eastAsia="en-GB"/>
              </w:rPr>
              <w:t xml:space="preserve"> the </w:t>
            </w:r>
            <w:r w:rsidRPr="00790248">
              <w:rPr>
                <w:rFonts w:ascii="Montserrat ExtraBold" w:eastAsia="Times New Roman" w:hAnsi="Montserrat ExtraBold" w:cs="Tahoma"/>
                <w:b/>
                <w:bCs/>
                <w:sz w:val="28"/>
                <w:szCs w:val="28"/>
                <w:lang w:eastAsia="en-GB"/>
              </w:rPr>
              <w:t>DMLC Part II</w:t>
            </w:r>
            <w:r w:rsidRPr="00790248">
              <w:rPr>
                <w:rFonts w:ascii="Montserrat ExtraBold" w:eastAsia="Times New Roman" w:hAnsi="Montserrat ExtraBold" w:cs="Tahoma"/>
                <w:b/>
                <w:bCs/>
                <w:sz w:val="28"/>
                <w:szCs w:val="28"/>
                <w:lang w:eastAsia="en-GB"/>
              </w:rPr>
              <w:fldChar w:fldCharType="end"/>
            </w:r>
          </w:p>
          <w:p w14:paraId="77C2F999" w14:textId="548E7274" w:rsidR="00AE7762" w:rsidRPr="00790248" w:rsidRDefault="00AE7762" w:rsidP="00587531">
            <w:pPr>
              <w:tabs>
                <w:tab w:val="center" w:pos="4513"/>
                <w:tab w:val="right" w:pos="9026"/>
              </w:tabs>
              <w:spacing w:line="240" w:lineRule="auto"/>
              <w:rPr>
                <w:rFonts w:ascii="Verdana" w:eastAsia="Times New Roman" w:hAnsi="Verdana" w:cs="Tahoma"/>
                <w:szCs w:val="20"/>
                <w:lang w:eastAsia="en-GB"/>
              </w:rPr>
            </w:pPr>
          </w:p>
        </w:tc>
      </w:tr>
      <w:tr w:rsidR="00AE7762" w:rsidRPr="00790248" w14:paraId="546FE589" w14:textId="77777777" w:rsidTr="00587531">
        <w:trPr>
          <w:trHeight w:val="397"/>
        </w:trPr>
        <w:tc>
          <w:tcPr>
            <w:tcW w:w="9924" w:type="dxa"/>
            <w:tcBorders>
              <w:top w:val="nil"/>
              <w:left w:val="nil"/>
              <w:bottom w:val="nil"/>
              <w:right w:val="nil"/>
            </w:tcBorders>
            <w:shd w:val="clear" w:color="auto" w:fill="auto"/>
            <w:vAlign w:val="center"/>
          </w:tcPr>
          <w:p w14:paraId="0BDDBB87" w14:textId="77777777" w:rsidR="00AE7762" w:rsidRPr="00790248" w:rsidRDefault="00AE7762" w:rsidP="00587531">
            <w:pPr>
              <w:tabs>
                <w:tab w:val="center" w:pos="4513"/>
                <w:tab w:val="right" w:pos="9026"/>
              </w:tabs>
              <w:spacing w:line="240" w:lineRule="auto"/>
              <w:jc w:val="center"/>
              <w:rPr>
                <w:rFonts w:ascii="Montserrat Light" w:eastAsia="Times New Roman" w:hAnsi="Montserrat Light" w:cs="Tahoma"/>
                <w:szCs w:val="20"/>
                <w:lang w:eastAsia="en-GB"/>
              </w:rPr>
            </w:pPr>
            <w:r w:rsidRPr="00790248">
              <w:rPr>
                <w:rFonts w:ascii="Montserrat Light" w:eastAsia="Times New Roman" w:hAnsi="Montserrat Light" w:cs="Tahoma"/>
                <w:szCs w:val="20"/>
                <w:lang w:eastAsia="en-GB"/>
              </w:rPr>
              <w:t>Notice to Registered Shipowners, ISM/Technical Managers, Masters, Approved Nautical Inspectors, Recognised Organisations, and Surveyors</w:t>
            </w:r>
          </w:p>
        </w:tc>
      </w:tr>
    </w:tbl>
    <w:p w14:paraId="63C59B26" w14:textId="77777777" w:rsidR="00AE7762" w:rsidRPr="00790248" w:rsidRDefault="00AE7762" w:rsidP="00AE7762">
      <w:pPr>
        <w:numPr>
          <w:ilvl w:val="0"/>
          <w:numId w:val="1"/>
        </w:numPr>
        <w:spacing w:after="200" w:line="276" w:lineRule="auto"/>
        <w:contextualSpacing/>
        <w:jc w:val="both"/>
        <w:rPr>
          <w:rFonts w:eastAsia="Calibri" w:cs="Noto Sans"/>
          <w:b/>
          <w:bCs/>
          <w:szCs w:val="20"/>
          <w:lang w:eastAsia="en-GB"/>
        </w:rPr>
      </w:pPr>
      <w:r w:rsidRPr="00790248">
        <w:rPr>
          <w:rFonts w:eastAsia="Calibri" w:cs="Noto Sans"/>
          <w:noProof/>
          <w:szCs w:val="20"/>
          <w:lang w:eastAsia="en-GB"/>
        </w:rPr>
        <mc:AlternateContent>
          <mc:Choice Requires="wps">
            <w:drawing>
              <wp:anchor distT="45720" distB="45720" distL="114300" distR="114300" simplePos="0" relativeHeight="251659264" behindDoc="0" locked="0" layoutInCell="1" allowOverlap="1" wp14:anchorId="557825D8" wp14:editId="7D50BCF0">
                <wp:simplePos x="0" y="0"/>
                <wp:positionH relativeFrom="column">
                  <wp:posOffset>-3631565</wp:posOffset>
                </wp:positionH>
                <wp:positionV relativeFrom="paragraph">
                  <wp:posOffset>-243205</wp:posOffset>
                </wp:positionV>
                <wp:extent cx="5742574" cy="258471"/>
                <wp:effectExtent l="0" t="1270" r="9525" b="9525"/>
                <wp:wrapNone/>
                <wp:docPr id="2" name="Text Box 2"/>
                <wp:cNvGraphicFramePr/>
                <a:graphic xmlns:a="http://schemas.openxmlformats.org/drawingml/2006/main">
                  <a:graphicData uri="http://schemas.microsoft.com/office/word/2010/wordprocessingShape">
                    <wps:wsp>
                      <wps:cNvSpPr txBox="1"/>
                      <wps:spPr>
                        <a:xfrm rot="16200000">
                          <a:off x="0" y="0"/>
                          <a:ext cx="5742574" cy="258471"/>
                        </a:xfrm>
                        <a:prstGeom prst="rect">
                          <a:avLst/>
                        </a:prstGeom>
                        <a:solidFill>
                          <a:srgbClr val="FFFFFF"/>
                        </a:solidFill>
                        <a:ln w="9525">
                          <a:noFill/>
                          <a:miter lim="800000"/>
                          <a:headEnd/>
                          <a:tailEnd/>
                        </a:ln>
                        <a:effectLst/>
                      </wps:spPr>
                      <wps:txbx>
                        <w:txbxContent>
                          <w:p w14:paraId="70ED39EB" w14:textId="77777777" w:rsidR="00AE7762" w:rsidRDefault="00AE7762" w:rsidP="00AE7762">
                            <w:pPr>
                              <w:rPr>
                                <w:rFonts w:cs="Noto Sans"/>
                                <w:color w:val="7F7F7F"/>
                                <w:sz w:val="14"/>
                                <w:szCs w:val="14"/>
                              </w:rPr>
                            </w:pPr>
                            <w:r>
                              <w:rPr>
                                <w:rFonts w:cs="Noto Sans"/>
                                <w:color w:val="7F7F7F"/>
                                <w:sz w:val="14"/>
                                <w:szCs w:val="14"/>
                              </w:rPr>
                              <w:t xml:space="preserve">The Bahamas Maritime Authority, Effective Version </w:t>
                            </w:r>
                            <w:r>
                              <w:rPr>
                                <w:rFonts w:cs="Noto Sans"/>
                                <w:color w:val="7F7F7F"/>
                                <w:sz w:val="14"/>
                                <w:szCs w:val="14"/>
                              </w:rPr>
                              <w:fldChar w:fldCharType="begin"/>
                            </w:r>
                            <w:r>
                              <w:rPr>
                                <w:rFonts w:cs="Noto Sans"/>
                                <w:color w:val="7F7F7F"/>
                                <w:sz w:val="14"/>
                                <w:szCs w:val="14"/>
                              </w:rPr>
                              <w:instrText xml:space="preserve">DOCPROPERTY DS_PROPERTY_1118  \* MERGEFORMAT </w:instrText>
                            </w:r>
                            <w:r>
                              <w:rPr>
                                <w:rFonts w:cs="Noto Sans"/>
                                <w:color w:val="7F7F7F"/>
                                <w:sz w:val="14"/>
                                <w:szCs w:val="14"/>
                              </w:rPr>
                              <w:fldChar w:fldCharType="separate"/>
                            </w:r>
                            <w:r>
                              <w:rPr>
                                <w:rFonts w:cs="Noto Sans"/>
                                <w:color w:val="7F7F7F"/>
                                <w:sz w:val="14"/>
                                <w:szCs w:val="14"/>
                              </w:rPr>
                              <w:t>1</w:t>
                            </w:r>
                            <w:r>
                              <w:rPr>
                                <w:rFonts w:cs="Noto Sans"/>
                                <w:color w:val="7F7F7F"/>
                                <w:sz w:val="14"/>
                                <w:szCs w:val="14"/>
                              </w:rPr>
                              <w:fldChar w:fldCharType="end"/>
                            </w:r>
                            <w:r>
                              <w:rPr>
                                <w:rFonts w:cs="Noto Sans"/>
                                <w:color w:val="7F7F7F"/>
                                <w:sz w:val="14"/>
                                <w:szCs w:val="14"/>
                              </w:rPr>
                              <w:t>.</w:t>
                            </w:r>
                            <w:r>
                              <w:rPr>
                                <w:rFonts w:cs="Noto Sans"/>
                                <w:color w:val="7F7F7F"/>
                                <w:sz w:val="14"/>
                                <w:szCs w:val="14"/>
                              </w:rPr>
                              <w:fldChar w:fldCharType="begin"/>
                            </w:r>
                            <w:r>
                              <w:rPr>
                                <w:rFonts w:cs="Noto Sans"/>
                                <w:color w:val="7F7F7F"/>
                                <w:sz w:val="14"/>
                                <w:szCs w:val="14"/>
                              </w:rPr>
                              <w:instrText xml:space="preserve">DOCPROPERTY DS_PROPERTY_1117  \* MERGEFORMAT </w:instrText>
                            </w:r>
                            <w:r>
                              <w:rPr>
                                <w:rFonts w:cs="Noto Sans"/>
                                <w:color w:val="7F7F7F"/>
                                <w:sz w:val="14"/>
                                <w:szCs w:val="14"/>
                              </w:rPr>
                              <w:fldChar w:fldCharType="separate"/>
                            </w:r>
                            <w:r>
                              <w:rPr>
                                <w:rFonts w:cs="Noto Sans"/>
                                <w:color w:val="7F7F7F"/>
                                <w:sz w:val="14"/>
                                <w:szCs w:val="14"/>
                              </w:rPr>
                              <w:t>0</w:t>
                            </w:r>
                            <w:r>
                              <w:rPr>
                                <w:rFonts w:cs="Noto Sans"/>
                                <w:color w:val="7F7F7F"/>
                                <w:sz w:val="14"/>
                                <w:szCs w:val="14"/>
                              </w:rPr>
                              <w:fldChar w:fldCharType="end"/>
                            </w:r>
                            <w:r>
                              <w:rPr>
                                <w:rFonts w:cs="Noto Sans"/>
                                <w:color w:val="7F7F7F"/>
                                <w:sz w:val="14"/>
                                <w:szCs w:val="14"/>
                              </w:rPr>
                              <w:t xml:space="preserve">, Version correct as of </w:t>
                            </w:r>
                            <w:r>
                              <w:rPr>
                                <w:rFonts w:cs="Noto Sans"/>
                                <w:color w:val="7F7F7F"/>
                                <w:sz w:val="14"/>
                                <w:szCs w:val="14"/>
                              </w:rPr>
                              <w:fldChar w:fldCharType="begin"/>
                            </w:r>
                            <w:r>
                              <w:rPr>
                                <w:rFonts w:cs="Noto Sans"/>
                                <w:color w:val="7F7F7F"/>
                                <w:sz w:val="14"/>
                                <w:szCs w:val="14"/>
                              </w:rPr>
                              <w:instrText xml:space="preserve"> DOCPROPERTY  "MFiles_PG24F83FED66AA4B15B4213D2EECAF4C6A"  \* MERGEFORMAT </w:instrText>
                            </w:r>
                            <w:r>
                              <w:rPr>
                                <w:rFonts w:cs="Noto Sans"/>
                                <w:color w:val="7F7F7F"/>
                                <w:sz w:val="14"/>
                                <w:szCs w:val="14"/>
                              </w:rPr>
                              <w:fldChar w:fldCharType="separate"/>
                            </w:r>
                            <w:r>
                              <w:rPr>
                                <w:rFonts w:cs="Noto Sans"/>
                                <w:color w:val="7F7F7F"/>
                                <w:sz w:val="14"/>
                                <w:szCs w:val="14"/>
                              </w:rPr>
                              <w:t>28 /07/2022</w:t>
                            </w:r>
                            <w:r>
                              <w:rPr>
                                <w:rFonts w:cs="Noto Sans"/>
                                <w:color w:val="7F7F7F"/>
                                <w:sz w:val="14"/>
                                <w:szCs w:val="14"/>
                              </w:rPr>
                              <w:fldChar w:fldCharType="end"/>
                            </w:r>
                          </w:p>
                        </w:txbxContent>
                      </wps:txbx>
                      <wps:bodyPr rot="0" vert="horz" wrap="square" lIns="91440" tIns="45720" rIns="91440" bIns="45720" anchor="t" anchorCtr="0">
                        <a:noAutofit/>
                      </wps:bodyPr>
                    </wps:wsp>
                  </a:graphicData>
                </a:graphic>
              </wp:anchor>
            </w:drawing>
          </mc:Choice>
          <mc:Fallback>
            <w:pict>
              <v:shapetype w14:anchorId="557825D8" id="_x0000_t202" coordsize="21600,21600" o:spt="202" path="m,l,21600r21600,l21600,xe">
                <v:stroke joinstyle="miter"/>
                <v:path gradientshapeok="t" o:connecttype="rect"/>
              </v:shapetype>
              <v:shape id="Text Box 2" o:spid="_x0000_s1026" type="#_x0000_t202" style="position:absolute;left:0;text-align:left;margin-left:-285.95pt;margin-top:-19.15pt;width:452.15pt;height:20.35pt;rotation:-90;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" stroked="f">
                <v:textbox>
                  <w:txbxContent>
                    <w:p w14:paraId="70ED39EB" w14:textId="77777777" w:rsidR="00AE7762" w:rsidRDefault="00AE7762" w:rsidP="00AE7762">
                      <w:pPr>
                        <w:rPr>
                          <w:rFonts w:cs="Noto Sans"/>
                          <w:color w:val="7F7F7F"/>
                          <w:sz w:val="14"/>
                          <w:szCs w:val="14"/>
                        </w:rPr>
                      </w:pPr>
                      <w:r>
                        <w:rPr>
                          <w:rFonts w:cs="Noto Sans"/>
                          <w:color w:val="7F7F7F"/>
                          <w:sz w:val="14"/>
                          <w:szCs w:val="14"/>
                        </w:rPr>
                        <w:t xml:space="preserve">The Bahamas Maritime Authority, Effective Version </w:t>
                      </w:r>
                      <w:r>
                        <w:rPr>
                          <w:rFonts w:cs="Noto Sans"/>
                          <w:color w:val="7F7F7F"/>
                          <w:sz w:val="14"/>
                          <w:szCs w:val="14"/>
                        </w:rPr>
                        <w:fldChar w:fldCharType="begin"/>
                      </w:r>
                      <w:r>
                        <w:rPr>
                          <w:rFonts w:cs="Noto Sans"/>
                          <w:color w:val="7F7F7F"/>
                          <w:sz w:val="14"/>
                          <w:szCs w:val="14"/>
                        </w:rPr>
                        <w:instrText xml:space="preserve">DOCPROPERTY DS_PROPERTY_1118  \* MERGEFORMAT </w:instrText>
                      </w:r>
                      <w:r>
                        <w:rPr>
                          <w:rFonts w:cs="Noto Sans"/>
                          <w:color w:val="7F7F7F"/>
                          <w:sz w:val="14"/>
                          <w:szCs w:val="14"/>
                        </w:rPr>
                        <w:fldChar w:fldCharType="separate"/>
                      </w:r>
                      <w:r>
                        <w:rPr>
                          <w:rFonts w:cs="Noto Sans"/>
                          <w:color w:val="7F7F7F"/>
                          <w:sz w:val="14"/>
                          <w:szCs w:val="14"/>
                        </w:rPr>
                        <w:t>1</w:t>
                      </w:r>
                      <w:r>
                        <w:rPr>
                          <w:rFonts w:cs="Noto Sans"/>
                          <w:color w:val="7F7F7F"/>
                          <w:sz w:val="14"/>
                          <w:szCs w:val="14"/>
                        </w:rPr>
                        <w:fldChar w:fldCharType="end"/>
                      </w:r>
                      <w:r>
                        <w:rPr>
                          <w:rFonts w:cs="Noto Sans"/>
                          <w:color w:val="7F7F7F"/>
                          <w:sz w:val="14"/>
                          <w:szCs w:val="14"/>
                        </w:rPr>
                        <w:t>.</w:t>
                      </w:r>
                      <w:r>
                        <w:rPr>
                          <w:rFonts w:cs="Noto Sans"/>
                          <w:color w:val="7F7F7F"/>
                          <w:sz w:val="14"/>
                          <w:szCs w:val="14"/>
                        </w:rPr>
                        <w:fldChar w:fldCharType="begin"/>
                      </w:r>
                      <w:r>
                        <w:rPr>
                          <w:rFonts w:cs="Noto Sans"/>
                          <w:color w:val="7F7F7F"/>
                          <w:sz w:val="14"/>
                          <w:szCs w:val="14"/>
                        </w:rPr>
                        <w:instrText xml:space="preserve">DOCPROPERTY DS_PROPERTY_1117  \* MERGEFORMAT </w:instrText>
                      </w:r>
                      <w:r>
                        <w:rPr>
                          <w:rFonts w:cs="Noto Sans"/>
                          <w:color w:val="7F7F7F"/>
                          <w:sz w:val="14"/>
                          <w:szCs w:val="14"/>
                        </w:rPr>
                        <w:fldChar w:fldCharType="separate"/>
                      </w:r>
                      <w:r>
                        <w:rPr>
                          <w:rFonts w:cs="Noto Sans"/>
                          <w:color w:val="7F7F7F"/>
                          <w:sz w:val="14"/>
                          <w:szCs w:val="14"/>
                        </w:rPr>
                        <w:t>0</w:t>
                      </w:r>
                      <w:r>
                        <w:rPr>
                          <w:rFonts w:cs="Noto Sans"/>
                          <w:color w:val="7F7F7F"/>
                          <w:sz w:val="14"/>
                          <w:szCs w:val="14"/>
                        </w:rPr>
                        <w:fldChar w:fldCharType="end"/>
                      </w:r>
                      <w:r>
                        <w:rPr>
                          <w:rFonts w:cs="Noto Sans"/>
                          <w:color w:val="7F7F7F"/>
                          <w:sz w:val="14"/>
                          <w:szCs w:val="14"/>
                        </w:rPr>
                        <w:t xml:space="preserve">, Version correct as of </w:t>
                      </w:r>
                      <w:r>
                        <w:rPr>
                          <w:rFonts w:cs="Noto Sans"/>
                          <w:color w:val="7F7F7F"/>
                          <w:sz w:val="14"/>
                          <w:szCs w:val="14"/>
                        </w:rPr>
                        <w:fldChar w:fldCharType="begin"/>
                      </w:r>
                      <w:r>
                        <w:rPr>
                          <w:rFonts w:cs="Noto Sans"/>
                          <w:color w:val="7F7F7F"/>
                          <w:sz w:val="14"/>
                          <w:szCs w:val="14"/>
                        </w:rPr>
                        <w:instrText xml:space="preserve"> DOCPROPERTY  "MFiles_PG24F83FED66AA4B15B4213D2EECAF4C6A"  \* MERGEFORMAT </w:instrText>
                      </w:r>
                      <w:r>
                        <w:rPr>
                          <w:rFonts w:cs="Noto Sans"/>
                          <w:color w:val="7F7F7F"/>
                          <w:sz w:val="14"/>
                          <w:szCs w:val="14"/>
                        </w:rPr>
                        <w:fldChar w:fldCharType="separate"/>
                      </w:r>
                      <w:r>
                        <w:rPr>
                          <w:rFonts w:cs="Noto Sans"/>
                          <w:color w:val="7F7F7F"/>
                          <w:sz w:val="14"/>
                          <w:szCs w:val="14"/>
                        </w:rPr>
                        <w:t>28 /07/2022</w:t>
                      </w:r>
                      <w:r>
                        <w:rPr>
                          <w:rFonts w:cs="Noto Sans"/>
                          <w:color w:val="7F7F7F"/>
                          <w:sz w:val="14"/>
                          <w:szCs w:val="14"/>
                        </w:rPr>
                        <w:fldChar w:fldCharType="end"/>
                      </w:r>
                    </w:p>
                  </w:txbxContent>
                </v:textbox>
              </v:shape>
            </w:pict>
          </mc:Fallback>
        </mc:AlternateContent>
      </w:r>
      <w:r w:rsidRPr="00790248">
        <w:rPr>
          <w:rFonts w:eastAsia="Calibri" w:cs="Noto Sans"/>
          <w:b/>
          <w:bCs/>
          <w:szCs w:val="20"/>
          <w:lang w:eastAsia="en-GB"/>
        </w:rPr>
        <w:t>Purpose</w:t>
      </w:r>
      <w:r w:rsidRPr="00790248">
        <w:rPr>
          <w:rFonts w:eastAsia="Calibri" w:cs="Noto Sans"/>
          <w:szCs w:val="20"/>
          <w:lang w:eastAsia="en-GB"/>
        </w:rPr>
        <w:t xml:space="preserve"> </w:t>
      </w:r>
    </w:p>
    <w:p w14:paraId="2EDDED9A" w14:textId="77777777" w:rsidR="00AE7762" w:rsidRPr="00790248" w:rsidRDefault="00AE7762" w:rsidP="00AE7762">
      <w:pPr>
        <w:spacing w:after="200" w:line="276" w:lineRule="auto"/>
        <w:ind w:left="851"/>
        <w:contextualSpacing/>
        <w:jc w:val="both"/>
        <w:rPr>
          <w:rFonts w:eastAsia="Calibri" w:cs="Noto Sans"/>
          <w:b/>
          <w:bCs/>
          <w:szCs w:val="20"/>
          <w:lang w:eastAsia="en-GB"/>
        </w:rPr>
      </w:pPr>
    </w:p>
    <w:p w14:paraId="12F0FCE6" w14:textId="77777777" w:rsidR="00AE7762" w:rsidRPr="00790248" w:rsidRDefault="00AE7762" w:rsidP="00AE7762">
      <w:pPr>
        <w:numPr>
          <w:ilvl w:val="1"/>
          <w:numId w:val="1"/>
        </w:numPr>
        <w:spacing w:after="200" w:line="240" w:lineRule="auto"/>
        <w:contextualSpacing/>
        <w:jc w:val="both"/>
        <w:rPr>
          <w:rFonts w:eastAsia="Calibri" w:cs="Noto Sans"/>
          <w:szCs w:val="20"/>
          <w:lang w:eastAsia="en-GB"/>
        </w:rPr>
      </w:pPr>
      <w:r w:rsidRPr="00790248">
        <w:rPr>
          <w:rFonts w:eastAsia="Calibri" w:cs="Noto Sans"/>
          <w:szCs w:val="20"/>
          <w:lang w:eastAsia="en-GB"/>
        </w:rPr>
        <w:t>The purpose of this Information Notice is to provide guidance on completing a Declaration of Maritime Labour Compliance Part II (DMLC Part II), as required by the Maritime Labour Convention, 2006 (MLC, 2006).</w:t>
      </w:r>
    </w:p>
    <w:p w14:paraId="4222AFC3" w14:textId="77777777" w:rsidR="00AE7762" w:rsidRPr="00790248" w:rsidRDefault="00AE7762" w:rsidP="00AE7762">
      <w:pPr>
        <w:spacing w:after="200" w:line="240" w:lineRule="auto"/>
        <w:ind w:left="851"/>
        <w:contextualSpacing/>
        <w:jc w:val="both"/>
        <w:rPr>
          <w:rFonts w:eastAsia="Calibri" w:cs="Noto Sans"/>
          <w:szCs w:val="20"/>
          <w:lang w:eastAsia="en-GB"/>
        </w:rPr>
      </w:pPr>
    </w:p>
    <w:p w14:paraId="47BDAC1F" w14:textId="77777777" w:rsidR="00AE7762" w:rsidRPr="00790248" w:rsidRDefault="00AE7762" w:rsidP="00AE7762">
      <w:pPr>
        <w:numPr>
          <w:ilvl w:val="0"/>
          <w:numId w:val="1"/>
        </w:numPr>
        <w:spacing w:after="200" w:line="240" w:lineRule="auto"/>
        <w:contextualSpacing/>
        <w:jc w:val="both"/>
        <w:rPr>
          <w:rFonts w:eastAsia="Calibri" w:cs="Noto Sans"/>
          <w:b/>
          <w:bCs/>
          <w:szCs w:val="20"/>
          <w:lang w:eastAsia="en-GB"/>
        </w:rPr>
      </w:pPr>
      <w:r w:rsidRPr="00790248">
        <w:rPr>
          <w:rFonts w:eastAsia="Calibri" w:cs="Noto Sans"/>
          <w:b/>
          <w:bCs/>
          <w:szCs w:val="20"/>
          <w:lang w:eastAsia="en-GB"/>
        </w:rPr>
        <w:t>Application</w:t>
      </w:r>
    </w:p>
    <w:p w14:paraId="52810AC3" w14:textId="77777777" w:rsidR="00AE7762" w:rsidRPr="00790248" w:rsidRDefault="00AE7762" w:rsidP="00AE7762">
      <w:pPr>
        <w:keepNext/>
        <w:keepLines/>
        <w:numPr>
          <w:ilvl w:val="2"/>
          <w:numId w:val="2"/>
        </w:numPr>
        <w:shd w:val="clear" w:color="auto" w:fill="FFFFFF"/>
        <w:spacing w:before="150" w:after="150" w:line="276" w:lineRule="auto"/>
        <w:jc w:val="both"/>
        <w:outlineLvl w:val="3"/>
        <w:rPr>
          <w:rFonts w:eastAsia="Times New Roman" w:cs="Noto Sans"/>
          <w:color w:val="333333"/>
          <w:szCs w:val="20"/>
          <w:lang w:eastAsia="en-GB"/>
        </w:rPr>
      </w:pPr>
      <w:r w:rsidRPr="00790248">
        <w:rPr>
          <w:rFonts w:eastAsiaTheme="majorEastAsia" w:cs="Noto Sans"/>
          <w:szCs w:val="20"/>
          <w:lang w:eastAsia="en-GB"/>
        </w:rPr>
        <w:t>This Information Notice applies to all vessels of</w:t>
      </w:r>
      <w:r w:rsidRPr="00790248">
        <w:rPr>
          <w:rFonts w:eastAsiaTheme="majorEastAsia" w:cs="Noto Sans"/>
          <w:i/>
          <w:iCs/>
          <w:szCs w:val="20"/>
          <w:lang w:eastAsia="en-GB"/>
        </w:rPr>
        <w:t xml:space="preserve"> </w:t>
      </w:r>
      <w:r w:rsidRPr="00790248">
        <w:rPr>
          <w:rFonts w:eastAsia="Times New Roman" w:cs="Noto Sans"/>
          <w:color w:val="333333"/>
          <w:szCs w:val="20"/>
          <w:lang w:eastAsia="en-GB"/>
        </w:rPr>
        <w:t>gross tonnage of 500 GT or more, engaged in international voyages, and those with a gross tonnage equal or over 500 GT flying the flag of The Bahamas and operating from a port, or between ports from another country and shall maintain the Maritime Labour Convention (MLC) supplemented with the Declaration of Maritime Labour Compliance, which consists of two parts, DMLC-Part I and DMLC-Part II and shall be kept in a conscious place, and available for inspection.</w:t>
      </w:r>
    </w:p>
    <w:p w14:paraId="3B86AB17" w14:textId="77777777" w:rsidR="00AE7762" w:rsidRPr="00790248" w:rsidRDefault="00AE7762" w:rsidP="00AE7762">
      <w:pPr>
        <w:keepNext/>
        <w:keepLines/>
        <w:numPr>
          <w:ilvl w:val="2"/>
          <w:numId w:val="2"/>
        </w:numPr>
        <w:shd w:val="clear" w:color="auto" w:fill="FFFFFF"/>
        <w:spacing w:before="150" w:after="150" w:line="276" w:lineRule="auto"/>
        <w:jc w:val="both"/>
        <w:outlineLvl w:val="3"/>
        <w:rPr>
          <w:rFonts w:eastAsiaTheme="majorEastAsia" w:cs="Noto Sans"/>
          <w:szCs w:val="20"/>
          <w:lang w:eastAsia="en-GB"/>
        </w:rPr>
      </w:pPr>
      <w:r w:rsidRPr="00790248">
        <w:rPr>
          <w:rFonts w:eastAsiaTheme="majorEastAsia" w:cs="Noto Sans"/>
          <w:szCs w:val="20"/>
          <w:lang w:eastAsia="en-GB"/>
        </w:rPr>
        <w:t>Vessels with a gross tonnage from 200 GT to 499 GT engaged in international voyages or voyages between ports, may voluntarily request the Maritime Labour Certificate (MLC), for which compliance with all national regulations shall be required. Further, The Bahamas will also furnish a Determination of Ship Statement of Interpretation, to be kept onboard the vessel evidencing compliance with MLC, minimum requirements.</w:t>
      </w:r>
    </w:p>
    <w:p w14:paraId="385E5970" w14:textId="77777777" w:rsidR="00AE7762" w:rsidRPr="00790248" w:rsidRDefault="00AE7762" w:rsidP="00AE7762">
      <w:pPr>
        <w:spacing w:after="200" w:line="276" w:lineRule="auto"/>
        <w:rPr>
          <w:rFonts w:eastAsia="Calibri" w:cs="Noto Sans"/>
          <w:szCs w:val="20"/>
          <w:lang w:eastAsia="en-GB"/>
        </w:rPr>
      </w:pPr>
      <w:r w:rsidRPr="00790248">
        <w:rPr>
          <w:rFonts w:eastAsia="Calibri" w:cs="Noto Sans"/>
          <w:szCs w:val="20"/>
          <w:lang w:eastAsia="en-GB"/>
        </w:rPr>
        <w:t xml:space="preserve">3. </w:t>
      </w:r>
      <w:r w:rsidRPr="00790248">
        <w:rPr>
          <w:rFonts w:eastAsia="Calibri" w:cs="Noto Sans"/>
          <w:szCs w:val="20"/>
          <w:lang w:eastAsia="en-GB"/>
        </w:rPr>
        <w:tab/>
      </w:r>
      <w:r w:rsidRPr="00790248">
        <w:rPr>
          <w:rFonts w:eastAsia="Calibri" w:cs="Noto Sans"/>
          <w:b/>
          <w:bCs/>
          <w:szCs w:val="20"/>
          <w:lang w:eastAsia="en-GB"/>
        </w:rPr>
        <w:t>International Voyage</w:t>
      </w:r>
      <w:r w:rsidRPr="00790248">
        <w:rPr>
          <w:rFonts w:eastAsia="Calibri" w:cs="Noto Sans"/>
          <w:szCs w:val="20"/>
          <w:lang w:eastAsia="en-GB"/>
        </w:rPr>
        <w:t xml:space="preserve"> </w:t>
      </w:r>
    </w:p>
    <w:p w14:paraId="1699ED7D" w14:textId="77777777" w:rsidR="00AE7762" w:rsidRPr="00790248" w:rsidRDefault="00AE7762" w:rsidP="00AE7762">
      <w:pPr>
        <w:spacing w:after="200" w:line="276" w:lineRule="auto"/>
        <w:ind w:left="720" w:hanging="720"/>
        <w:jc w:val="both"/>
        <w:rPr>
          <w:rFonts w:eastAsia="Calibri" w:cs="Noto Sans"/>
          <w:szCs w:val="20"/>
          <w:lang w:eastAsia="en-GB"/>
        </w:rPr>
      </w:pPr>
      <w:r w:rsidRPr="00790248">
        <w:rPr>
          <w:rFonts w:eastAsia="Calibri" w:cs="Noto Sans"/>
          <w:szCs w:val="20"/>
          <w:lang w:eastAsia="en-GB"/>
        </w:rPr>
        <w:t>3.1</w:t>
      </w:r>
      <w:r w:rsidRPr="00790248">
        <w:rPr>
          <w:rFonts w:eastAsia="Calibri" w:cs="Noto Sans"/>
          <w:szCs w:val="20"/>
          <w:lang w:eastAsia="en-GB"/>
        </w:rPr>
        <w:tab/>
        <w:t xml:space="preserve">In accordance with the MLC 2006, the term “international voyage” refers to a voyage from a country to a port located outside such country, that is, outside the jurisdictional waters of the Commonwealth of The Bahamas. </w:t>
      </w:r>
    </w:p>
    <w:p w14:paraId="2A38990C" w14:textId="77777777" w:rsidR="00AE7762" w:rsidRPr="00790248" w:rsidRDefault="00AE7762" w:rsidP="00AE7762">
      <w:pPr>
        <w:numPr>
          <w:ilvl w:val="0"/>
          <w:numId w:val="4"/>
        </w:numPr>
        <w:spacing w:after="200" w:line="276" w:lineRule="auto"/>
        <w:contextualSpacing/>
        <w:rPr>
          <w:rFonts w:eastAsia="Calibri" w:cs="Noto Sans"/>
          <w:b/>
          <w:bCs/>
          <w:szCs w:val="20"/>
          <w:lang w:eastAsia="en-GB"/>
        </w:rPr>
      </w:pPr>
      <w:r w:rsidRPr="00790248">
        <w:rPr>
          <w:rFonts w:eastAsia="Calibri" w:cs="Noto Sans"/>
          <w:b/>
          <w:bCs/>
          <w:szCs w:val="20"/>
          <w:lang w:eastAsia="en-GB"/>
        </w:rPr>
        <w:t xml:space="preserve">       Completing The DMLC-Part II </w:t>
      </w:r>
    </w:p>
    <w:p w14:paraId="58542385" w14:textId="77777777" w:rsidR="00AE7762" w:rsidRPr="00790248" w:rsidRDefault="00AE7762" w:rsidP="00AE7762">
      <w:pPr>
        <w:spacing w:after="200" w:line="276" w:lineRule="auto"/>
        <w:ind w:left="720" w:hanging="720"/>
        <w:jc w:val="both"/>
        <w:rPr>
          <w:rFonts w:eastAsia="Calibri" w:cs="Noto Sans"/>
          <w:szCs w:val="20"/>
          <w:lang w:eastAsia="en-GB"/>
        </w:rPr>
      </w:pPr>
      <w:r w:rsidRPr="00790248">
        <w:rPr>
          <w:rFonts w:eastAsia="Calibri" w:cs="Noto Sans"/>
          <w:szCs w:val="20"/>
          <w:lang w:eastAsia="en-GB"/>
        </w:rPr>
        <w:t>4.1</w:t>
      </w:r>
      <w:r w:rsidRPr="00790248">
        <w:rPr>
          <w:rFonts w:eastAsia="Calibri" w:cs="Noto Sans"/>
          <w:szCs w:val="20"/>
          <w:lang w:eastAsia="en-GB"/>
        </w:rPr>
        <w:tab/>
        <w:t>The DMLC Part II shall include the vessel name, IMO number, and the gross tonnage in accordance with the format provided by The BMA.</w:t>
      </w:r>
    </w:p>
    <w:p w14:paraId="2EE38E11" w14:textId="77777777" w:rsidR="00AE7762" w:rsidRPr="00790248" w:rsidRDefault="00AE7762" w:rsidP="00AE7762">
      <w:pPr>
        <w:spacing w:after="200" w:line="276" w:lineRule="auto"/>
        <w:ind w:left="720" w:hanging="720"/>
        <w:jc w:val="both"/>
        <w:rPr>
          <w:rFonts w:eastAsia="Calibri" w:cs="Noto Sans"/>
          <w:szCs w:val="20"/>
          <w:lang w:eastAsia="en-GB"/>
        </w:rPr>
      </w:pPr>
      <w:r w:rsidRPr="00790248">
        <w:rPr>
          <w:rFonts w:eastAsia="Calibri" w:cs="Noto Sans"/>
          <w:szCs w:val="20"/>
          <w:lang w:eastAsia="en-GB"/>
        </w:rPr>
        <w:t>3.1.2</w:t>
      </w:r>
      <w:r w:rsidRPr="00790248">
        <w:rPr>
          <w:rFonts w:eastAsia="Calibri" w:cs="Noto Sans"/>
          <w:szCs w:val="20"/>
          <w:lang w:eastAsia="en-GB"/>
        </w:rPr>
        <w:tab/>
        <w:t>There shall only be one DMLC Part II format for all vessel categories under The Bahamas flag registry.</w:t>
      </w:r>
    </w:p>
    <w:p w14:paraId="6ACDF977" w14:textId="164B7F6D" w:rsidR="00AE7762" w:rsidRPr="00AE7762" w:rsidRDefault="00AE7762" w:rsidP="00AE7762">
      <w:pPr>
        <w:spacing w:after="200" w:line="276" w:lineRule="auto"/>
        <w:ind w:left="720" w:hanging="720"/>
        <w:jc w:val="both"/>
        <w:rPr>
          <w:rFonts w:eastAsia="Calibri" w:cs="Noto Sans"/>
          <w:color w:val="FF0000"/>
          <w:szCs w:val="20"/>
          <w:lang w:eastAsia="en-GB"/>
        </w:rPr>
      </w:pPr>
      <w:r w:rsidRPr="00790248">
        <w:rPr>
          <w:rFonts w:eastAsia="Calibri" w:cs="Noto Sans"/>
          <w:szCs w:val="20"/>
          <w:lang w:eastAsia="en-GB"/>
        </w:rPr>
        <w:t xml:space="preserve">3.1.3 </w:t>
      </w:r>
      <w:r w:rsidRPr="00790248">
        <w:rPr>
          <w:rFonts w:eastAsia="Calibri" w:cs="Noto Sans"/>
          <w:szCs w:val="20"/>
          <w:lang w:eastAsia="en-GB"/>
        </w:rPr>
        <w:tab/>
        <w:t xml:space="preserve">The BMA Approved DMLC-Part II can be obtained  by using the following link </w:t>
      </w:r>
      <w:hyperlink r:id="rId11" w:history="1">
        <w:r w:rsidRPr="00AE7762">
          <w:rPr>
            <w:rFonts w:eastAsia="Calibri" w:cs="Noto Sans"/>
            <w:color w:val="FF0000"/>
            <w:szCs w:val="20"/>
            <w:u w:val="single"/>
            <w:lang w:eastAsia="en-GB"/>
          </w:rPr>
          <w:t>..\OneDrive - The Bahamas Maritime Authority\Desktop\THE BMA APPROVED DMLC- PART II - 26 July 2022.docx</w:t>
        </w:r>
      </w:hyperlink>
      <w:r w:rsidRPr="00AE7762">
        <w:rPr>
          <w:rFonts w:eastAsia="Calibri" w:cs="Noto Sans"/>
          <w:color w:val="FF0000"/>
          <w:szCs w:val="20"/>
          <w:lang w:eastAsia="en-GB"/>
        </w:rPr>
        <w:t>.</w:t>
      </w:r>
    </w:p>
    <w:p w14:paraId="7AE83B85" w14:textId="728759AA" w:rsidR="00AE7762" w:rsidRPr="00790248" w:rsidRDefault="00AE7762" w:rsidP="00AE7762">
      <w:pPr>
        <w:numPr>
          <w:ilvl w:val="2"/>
          <w:numId w:val="3"/>
        </w:numPr>
        <w:spacing w:after="200" w:line="276" w:lineRule="auto"/>
        <w:contextualSpacing/>
        <w:jc w:val="both"/>
        <w:rPr>
          <w:rFonts w:eastAsia="Calibri" w:cs="Noto Sans"/>
          <w:szCs w:val="20"/>
          <w:lang w:eastAsia="en-GB"/>
        </w:rPr>
      </w:pPr>
      <w:r w:rsidRPr="00790248">
        <w:rPr>
          <w:rFonts w:eastAsia="Calibri" w:cs="Noto Sans"/>
          <w:szCs w:val="20"/>
          <w:lang w:eastAsia="en-GB"/>
        </w:rPr>
        <w:t xml:space="preserve">The DMLC-Part II consist of verbiage which outlines what </w:t>
      </w:r>
      <w:r w:rsidRPr="00790248">
        <w:rPr>
          <w:rFonts w:eastAsia="Calibri" w:cs="Noto Sans"/>
          <w:color w:val="0B0C0C"/>
          <w:szCs w:val="20"/>
          <w:shd w:val="clear" w:color="auto" w:fill="FFFFFF"/>
          <w:lang w:eastAsia="en-GB"/>
        </w:rPr>
        <w:t xml:space="preserve">the registered shipowner is required to do to satisfy the 16 items listed in Appendix A5.1 under MLC, 2006. The </w:t>
      </w:r>
      <w:r w:rsidRPr="00790248">
        <w:rPr>
          <w:rFonts w:eastAsia="Calibri" w:cs="Noto Sans"/>
          <w:color w:val="0B0C0C"/>
          <w:szCs w:val="20"/>
          <w:shd w:val="clear" w:color="auto" w:fill="FFFFFF"/>
          <w:lang w:eastAsia="en-GB"/>
        </w:rPr>
        <w:lastRenderedPageBreak/>
        <w:t xml:space="preserve">individual boxes provided on the format, </w:t>
      </w:r>
      <w:r w:rsidRPr="00790248">
        <w:rPr>
          <w:rFonts w:eastAsia="Calibri" w:cs="Noto Sans"/>
          <w:szCs w:val="20"/>
          <w:lang w:eastAsia="en-GB"/>
        </w:rPr>
        <w:t xml:space="preserve">shall be designated and/or selected evidencing acceptance. Further, the </w:t>
      </w:r>
      <w:r w:rsidRPr="00790248">
        <w:rPr>
          <w:rFonts w:eastAsia="Calibri" w:cs="Noto Sans"/>
          <w:szCs w:val="20"/>
          <w:lang w:eastAsia="en-GB"/>
        </w:rPr>
        <w:t>Safety</w:t>
      </w:r>
      <w:r w:rsidRPr="00790248">
        <w:rPr>
          <w:rFonts w:eastAsia="Calibri" w:cs="Noto Sans"/>
          <w:szCs w:val="20"/>
          <w:lang w:eastAsia="en-GB"/>
        </w:rPr>
        <w:t xml:space="preserve"> Management references can be included where necessary, and no modifications shall be made to the DMLC-Part II. Further, if the verbiage outlined in any of the listed 16 items, that may not be applicable to the vessel type, this shall be immediately communicated to The BMA for review. </w:t>
      </w:r>
    </w:p>
    <w:p w14:paraId="3A404FBC" w14:textId="77777777" w:rsidR="00AE7762" w:rsidRPr="00790248" w:rsidRDefault="00AE7762" w:rsidP="00AE7762">
      <w:pPr>
        <w:spacing w:after="200" w:line="276" w:lineRule="auto"/>
        <w:ind w:left="720"/>
        <w:contextualSpacing/>
        <w:jc w:val="both"/>
        <w:rPr>
          <w:rFonts w:eastAsia="Calibri" w:cs="Noto Sans"/>
          <w:szCs w:val="20"/>
          <w:lang w:eastAsia="en-GB"/>
        </w:rPr>
      </w:pPr>
    </w:p>
    <w:p w14:paraId="503FA0DC" w14:textId="77777777" w:rsidR="00AE7762" w:rsidRPr="00790248" w:rsidRDefault="00AE7762" w:rsidP="00AE7762">
      <w:pPr>
        <w:numPr>
          <w:ilvl w:val="2"/>
          <w:numId w:val="3"/>
        </w:numPr>
        <w:spacing w:after="200" w:line="276" w:lineRule="auto"/>
        <w:contextualSpacing/>
        <w:jc w:val="both"/>
        <w:rPr>
          <w:rFonts w:eastAsia="Calibri" w:cs="Noto Sans"/>
          <w:szCs w:val="20"/>
          <w:lang w:eastAsia="en-GB"/>
        </w:rPr>
      </w:pPr>
      <w:r w:rsidRPr="00790248">
        <w:rPr>
          <w:rFonts w:eastAsia="Calibri" w:cs="Noto Sans"/>
          <w:szCs w:val="20"/>
          <w:lang w:eastAsia="en-GB"/>
        </w:rPr>
        <w:t>If Bahamas flagged vessel changes name, gross tonnage, registered shipowner, ISM/Technical Management Company or suffers any substantial changes to the structure or equipment covered in Title 3 Standard A3.1, the vessel Management Company shall receive a revised DMLC-Part I and the registered shipowner shall duly develop the DMLC- Part II, in order to process the renewal of the maritime labour certificate (MLC) to ensure that it is properly certified in accordance with the standards under MLC, 2006.</w:t>
      </w:r>
    </w:p>
    <w:p w14:paraId="340AEF4A" w14:textId="77777777" w:rsidR="00AE7762" w:rsidRPr="00790248" w:rsidRDefault="00AE7762" w:rsidP="00AE7762">
      <w:pPr>
        <w:spacing w:after="200" w:line="276" w:lineRule="auto"/>
        <w:ind w:left="720"/>
        <w:contextualSpacing/>
        <w:jc w:val="both"/>
        <w:rPr>
          <w:rFonts w:eastAsia="Calibri" w:cs="Noto Sans"/>
          <w:szCs w:val="20"/>
          <w:lang w:eastAsia="en-GB"/>
        </w:rPr>
      </w:pPr>
    </w:p>
    <w:p w14:paraId="228ABBC8" w14:textId="77777777" w:rsidR="00AE7762" w:rsidRPr="00790248" w:rsidRDefault="00AE7762" w:rsidP="00AE7762">
      <w:pPr>
        <w:numPr>
          <w:ilvl w:val="2"/>
          <w:numId w:val="3"/>
        </w:numPr>
        <w:spacing w:after="200" w:line="276" w:lineRule="auto"/>
        <w:contextualSpacing/>
        <w:jc w:val="both"/>
        <w:rPr>
          <w:rFonts w:eastAsia="Calibri" w:cs="Noto Sans"/>
          <w:szCs w:val="20"/>
          <w:lang w:eastAsia="en-GB"/>
        </w:rPr>
      </w:pPr>
      <w:r w:rsidRPr="00790248">
        <w:rPr>
          <w:rFonts w:eastAsia="Calibri" w:cs="Noto Sans"/>
          <w:szCs w:val="20"/>
          <w:lang w:eastAsia="en-GB"/>
        </w:rPr>
        <w:t xml:space="preserve">The registered shipowner whose vessel has conducted a full inspection, as per Regulation 5.1.3 of the Maritime Labour Convention, 2006 (MLC, 2006), shall immediately be issued with a certificate valid for five (5) years from the date of completion of the inspection by a recognized organization duly authorized by The Bahamas. </w:t>
      </w:r>
    </w:p>
    <w:p w14:paraId="3F52AF96" w14:textId="77777777" w:rsidR="00AE7762" w:rsidRPr="00790248" w:rsidRDefault="00AE7762" w:rsidP="00AE7762">
      <w:pPr>
        <w:spacing w:after="200" w:line="276" w:lineRule="auto"/>
        <w:ind w:left="720" w:hanging="720"/>
        <w:jc w:val="both"/>
        <w:rPr>
          <w:rFonts w:eastAsia="Calibri" w:cs="Noto Sans"/>
          <w:szCs w:val="20"/>
          <w:lang w:eastAsia="en-GB"/>
        </w:rPr>
      </w:pPr>
      <w:r w:rsidRPr="00790248">
        <w:rPr>
          <w:rFonts w:eastAsia="Calibri" w:cs="Noto Sans"/>
          <w:szCs w:val="20"/>
          <w:lang w:eastAsia="en-GB"/>
        </w:rPr>
        <w:t>3.1.4</w:t>
      </w:r>
      <w:r w:rsidRPr="00790248">
        <w:rPr>
          <w:rFonts w:eastAsia="Calibri" w:cs="Noto Sans"/>
          <w:szCs w:val="20"/>
          <w:lang w:eastAsia="en-GB"/>
        </w:rPr>
        <w:tab/>
        <w:t xml:space="preserve">The Bahamas approved Class Societies and/or Recognized Organization (RO) shall endorse the Declaration of Maritime Labour Compliance Part II (DMLC-Part II), once the full inspection has ended in accordance to the requirements of the MLC, 2006; and proceed to issue the Maritime Labour Certificate valid for five (5) years from the date of completion of the inspection on which the Certificate is based, in accordance to the MLC, 2006. </w:t>
      </w:r>
    </w:p>
    <w:p w14:paraId="6226F5B7" w14:textId="77777777" w:rsidR="00AE7762" w:rsidRPr="00790248" w:rsidRDefault="00AE7762" w:rsidP="00AE7762">
      <w:pPr>
        <w:numPr>
          <w:ilvl w:val="2"/>
          <w:numId w:val="3"/>
        </w:numPr>
        <w:spacing w:after="200" w:line="276" w:lineRule="auto"/>
        <w:contextualSpacing/>
        <w:jc w:val="both"/>
        <w:rPr>
          <w:rFonts w:eastAsia="Calibri" w:cs="Noto Sans"/>
          <w:szCs w:val="20"/>
          <w:lang w:eastAsia="en-GB"/>
        </w:rPr>
      </w:pPr>
      <w:r w:rsidRPr="00790248">
        <w:rPr>
          <w:rFonts w:eastAsia="Calibri" w:cs="Noto Sans"/>
          <w:szCs w:val="20"/>
          <w:lang w:eastAsia="en-GB"/>
        </w:rPr>
        <w:t>The intermediate inspection, do</w:t>
      </w:r>
      <w:r>
        <w:rPr>
          <w:rFonts w:eastAsia="Calibri" w:cs="Noto Sans"/>
          <w:szCs w:val="20"/>
          <w:lang w:eastAsia="en-GB"/>
        </w:rPr>
        <w:t>es</w:t>
      </w:r>
      <w:r w:rsidRPr="00790248">
        <w:rPr>
          <w:rFonts w:eastAsia="Calibri" w:cs="Noto Sans"/>
          <w:szCs w:val="20"/>
          <w:lang w:eastAsia="en-GB"/>
        </w:rPr>
        <w:t xml:space="preserve"> not require  a new DMLC Part I and II to be issued, unless a Recognised Organisation change is taking place at the same time of this intermediate inspection, and the DMLC Part II, is subject to be endorsement by the inspecting RO.</w:t>
      </w:r>
    </w:p>
    <w:p w14:paraId="0BAD60B9" w14:textId="77777777" w:rsidR="00AE7762" w:rsidRPr="00790248" w:rsidRDefault="00AE7762" w:rsidP="00AE7762">
      <w:pPr>
        <w:spacing w:after="200" w:line="276" w:lineRule="auto"/>
        <w:ind w:left="720"/>
        <w:contextualSpacing/>
        <w:jc w:val="both"/>
        <w:rPr>
          <w:rFonts w:eastAsia="Calibri" w:cs="Noto Sans"/>
          <w:szCs w:val="20"/>
          <w:lang w:eastAsia="en-GB"/>
        </w:rPr>
      </w:pPr>
    </w:p>
    <w:p w14:paraId="15645A9F" w14:textId="77777777" w:rsidR="00AE7762" w:rsidRPr="00790248" w:rsidRDefault="00AE7762" w:rsidP="00AE7762">
      <w:pPr>
        <w:numPr>
          <w:ilvl w:val="2"/>
          <w:numId w:val="3"/>
        </w:numPr>
        <w:spacing w:after="200" w:line="276" w:lineRule="auto"/>
        <w:contextualSpacing/>
        <w:jc w:val="both"/>
        <w:rPr>
          <w:rFonts w:eastAsia="Calibri" w:cs="Noto Sans"/>
          <w:szCs w:val="20"/>
          <w:lang w:eastAsia="en-GB"/>
        </w:rPr>
      </w:pPr>
      <w:r w:rsidRPr="00790248">
        <w:rPr>
          <w:rFonts w:eastAsia="Calibri" w:cs="Noto Sans"/>
          <w:szCs w:val="20"/>
          <w:lang w:eastAsia="en-GB"/>
        </w:rPr>
        <w:t>All DMLC-Part IIs shall be duly signed by the registered shipowner, or the appointed ISM/Technical Management Company, that has conferred duties and responsibilities from the registered shipowner, and shall be endorsed by the attending and/or inspecting RO.</w:t>
      </w:r>
    </w:p>
    <w:p w14:paraId="45F54F31" w14:textId="77777777" w:rsidR="00AE7762" w:rsidRPr="00790248" w:rsidRDefault="00AE7762" w:rsidP="00AE7762">
      <w:pPr>
        <w:spacing w:after="200" w:line="240" w:lineRule="auto"/>
        <w:ind w:left="851"/>
        <w:contextualSpacing/>
        <w:jc w:val="both"/>
        <w:rPr>
          <w:rFonts w:eastAsia="Calibri" w:cs="Noto Sans"/>
          <w:szCs w:val="20"/>
          <w:lang w:eastAsia="en-GB"/>
        </w:rPr>
      </w:pPr>
    </w:p>
    <w:p w14:paraId="6EEBE4F0" w14:textId="77777777" w:rsidR="00AE7762" w:rsidRPr="00790248" w:rsidRDefault="00AE7762" w:rsidP="00AE7762">
      <w:pPr>
        <w:numPr>
          <w:ilvl w:val="0"/>
          <w:numId w:val="3"/>
        </w:numPr>
        <w:spacing w:after="200" w:line="240" w:lineRule="auto"/>
        <w:contextualSpacing/>
        <w:jc w:val="both"/>
        <w:rPr>
          <w:rFonts w:eastAsia="Calibri" w:cs="Noto Sans"/>
          <w:b/>
          <w:bCs/>
          <w:szCs w:val="20"/>
          <w:lang w:eastAsia="en-GB"/>
        </w:rPr>
      </w:pPr>
      <w:r w:rsidRPr="00790248">
        <w:rPr>
          <w:rFonts w:eastAsia="Calibri" w:cs="Noto Sans"/>
          <w:b/>
          <w:bCs/>
          <w:szCs w:val="20"/>
          <w:lang w:eastAsia="en-GB"/>
        </w:rPr>
        <w:t xml:space="preserve">Additional Information </w:t>
      </w:r>
    </w:p>
    <w:p w14:paraId="6ABAB8BB" w14:textId="77777777" w:rsidR="00AE7762" w:rsidRPr="00790248" w:rsidRDefault="00AE7762" w:rsidP="00AE7762">
      <w:pPr>
        <w:spacing w:after="200" w:line="240" w:lineRule="auto"/>
        <w:ind w:left="435"/>
        <w:contextualSpacing/>
        <w:jc w:val="both"/>
        <w:rPr>
          <w:rFonts w:eastAsia="Calibri" w:cs="Noto Sans"/>
          <w:b/>
          <w:bCs/>
          <w:szCs w:val="20"/>
          <w:lang w:eastAsia="en-GB"/>
        </w:rPr>
      </w:pPr>
    </w:p>
    <w:p w14:paraId="184DCD5B" w14:textId="77777777" w:rsidR="00AE7762" w:rsidRPr="00790248" w:rsidRDefault="00AE7762" w:rsidP="00AE7762">
      <w:pPr>
        <w:spacing w:after="200" w:line="276" w:lineRule="auto"/>
        <w:ind w:left="720" w:hanging="720"/>
        <w:jc w:val="both"/>
        <w:rPr>
          <w:rFonts w:eastAsia="Calibri" w:cs="Noto Sans"/>
          <w:szCs w:val="20"/>
          <w:lang w:eastAsia="en-GB"/>
        </w:rPr>
      </w:pPr>
      <w:r w:rsidRPr="00790248">
        <w:rPr>
          <w:rFonts w:eastAsia="Calibri" w:cs="Noto Sans"/>
          <w:szCs w:val="20"/>
          <w:lang w:eastAsia="en-GB"/>
        </w:rPr>
        <w:t>4.1.1</w:t>
      </w:r>
      <w:r w:rsidRPr="00790248">
        <w:rPr>
          <w:rFonts w:eastAsia="Calibri" w:cs="Noto Sans"/>
          <w:szCs w:val="20"/>
          <w:lang w:eastAsia="en-GB"/>
        </w:rPr>
        <w:tab/>
        <w:t xml:space="preserve">The registered shipowner, operator, ISM/Technical Management Company, legal representative under a Power of Attorney (POA) of the vessel’s registered shipowner, recognized organization or affiliates of the vessel, who may have enquiries, questions, or </w:t>
      </w:r>
      <w:r w:rsidRPr="00790248">
        <w:rPr>
          <w:rFonts w:eastAsia="Calibri" w:cs="Noto Sans"/>
          <w:szCs w:val="20"/>
          <w:lang w:eastAsia="en-GB"/>
        </w:rPr>
        <w:lastRenderedPageBreak/>
        <w:t>require clarification, please contact the MLC Section by using the e-mail: mlc@bahamasmaritime.com.</w:t>
      </w:r>
    </w:p>
    <w:p w14:paraId="7BCBD35A" w14:textId="77777777" w:rsidR="00AE7762" w:rsidRPr="00790248" w:rsidRDefault="00AE7762" w:rsidP="00AE7762">
      <w:pPr>
        <w:spacing w:after="200" w:line="276" w:lineRule="auto"/>
        <w:ind w:left="851"/>
        <w:contextualSpacing/>
        <w:jc w:val="both"/>
        <w:rPr>
          <w:rFonts w:ascii="Verdana" w:eastAsia="Calibri" w:hAnsi="Verdana" w:cs="Tahoma"/>
          <w:sz w:val="22"/>
          <w:szCs w:val="22"/>
          <w:lang w:eastAsia="en-GB"/>
        </w:rPr>
      </w:pPr>
    </w:p>
    <w:p w14:paraId="6A46993A" w14:textId="77777777" w:rsidR="005B47AF" w:rsidRPr="005B47AF" w:rsidRDefault="005B47AF" w:rsidP="005B47AF"/>
    <w:sectPr w:rsidR="005B47AF" w:rsidRPr="005B47AF" w:rsidSect="005117DC">
      <w:headerReference w:type="even" r:id="rId12"/>
      <w:headerReference w:type="default" r:id="rId13"/>
      <w:footerReference w:type="even" r:id="rId14"/>
      <w:footerReference w:type="default" r:id="rId15"/>
      <w:headerReference w:type="first" r:id="rId16"/>
      <w:footerReference w:type="first" r:id="rId17"/>
      <w:pgSz w:w="11901" w:h="16817"/>
      <w:pgMar w:top="2268" w:right="1440" w:bottom="2268" w:left="1440"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29444" w14:textId="77777777" w:rsidR="00882BB2" w:rsidRDefault="00882BB2" w:rsidP="0069435D">
      <w:pPr>
        <w:spacing w:line="240" w:lineRule="auto"/>
      </w:pPr>
      <w:r>
        <w:separator/>
      </w:r>
    </w:p>
  </w:endnote>
  <w:endnote w:type="continuationSeparator" w:id="0">
    <w:p w14:paraId="1919878D" w14:textId="77777777" w:rsidR="00882BB2" w:rsidRDefault="00882BB2" w:rsidP="006943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 w:fontKey="{AF1A5341-B1FE-4ACA-B703-B7EC442FB668}"/>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F037B4D4-EAAF-42F6-BFB4-E96A4D06CF4A}"/>
    <w:embedBold r:id="rId3" w:fontKey="{5EE873DF-144D-4404-95AD-F76A7B7BFE4A}"/>
  </w:font>
  <w:font w:name="Arial">
    <w:panose1 w:val="020B0604020202020204"/>
    <w:charset w:val="00"/>
    <w:family w:val="swiss"/>
    <w:pitch w:val="variable"/>
    <w:sig w:usb0="E0002EFF" w:usb1="C000785B" w:usb2="00000009" w:usb3="00000000" w:csb0="000001FF" w:csb1="00000000"/>
  </w:font>
  <w:font w:name="Noto Sans">
    <w:altName w:val="Mangal"/>
    <w:panose1 w:val="020B0502040504020204"/>
    <w:charset w:val="00"/>
    <w:family w:val="swiss"/>
    <w:pitch w:val="variable"/>
    <w:sig w:usb0="E00082FF" w:usb1="400078FF" w:usb2="00000021" w:usb3="00000000" w:csb0="0000019F" w:csb1="00000000"/>
    <w:embedRegular r:id="rId4" w:fontKey="{B0B82DD7-059F-4048-B523-2BBE2C7721B3}"/>
    <w:embedBold r:id="rId5" w:fontKey="{4C156A89-A08E-4CED-9708-7151802AF9A8}"/>
    <w:embedItalic r:id="rId6" w:fontKey="{199FD6A6-D22C-4728-9E7C-59253541C0BE}"/>
  </w:font>
  <w:font w:name="Montserrat">
    <w:panose1 w:val="00000500000000000000"/>
    <w:charset w:val="00"/>
    <w:family w:val="auto"/>
    <w:pitch w:val="variable"/>
    <w:sig w:usb0="2000020F" w:usb1="00000003" w:usb2="00000000" w:usb3="00000000" w:csb0="00000197" w:csb1="00000000"/>
    <w:embedBold r:id="rId7" w:fontKey="{20140A91-BF86-46C9-91A2-660A74F94E40}"/>
  </w:font>
  <w:font w:name="Montserrat ExtraBold">
    <w:panose1 w:val="00000900000000000000"/>
    <w:charset w:val="00"/>
    <w:family w:val="auto"/>
    <w:pitch w:val="variable"/>
    <w:sig w:usb0="2000020F" w:usb1="00000003" w:usb2="00000000" w:usb3="00000000" w:csb0="00000197" w:csb1="00000000"/>
    <w:embedBold r:id="rId8" w:fontKey="{1060E955-BFBA-47B0-AF71-716450DE56DD}"/>
  </w:font>
  <w:font w:name="Tahoma">
    <w:panose1 w:val="020B0604030504040204"/>
    <w:charset w:val="00"/>
    <w:family w:val="swiss"/>
    <w:pitch w:val="variable"/>
    <w:sig w:usb0="E1002EFF" w:usb1="C000605B" w:usb2="00000029" w:usb3="00000000" w:csb0="000101FF" w:csb1="00000000"/>
    <w:embedRegular r:id="rId9" w:fontKey="{C8EA90AB-C6EF-4ACF-B39F-BD95FF80941F}"/>
    <w:embedBold r:id="rId10" w:fontKey="{B0896059-E263-4FBB-882C-00A5B28FF9C3}"/>
  </w:font>
  <w:font w:name="Verdana">
    <w:panose1 w:val="020B0604030504040204"/>
    <w:charset w:val="00"/>
    <w:family w:val="swiss"/>
    <w:pitch w:val="variable"/>
    <w:sig w:usb0="A00006FF" w:usb1="4000205B" w:usb2="00000010" w:usb3="00000000" w:csb0="0000019F" w:csb1="00000000"/>
    <w:embedRegular r:id="rId11" w:fontKey="{F65AAD88-F0EA-4693-A475-058154EE2ECF}"/>
  </w:font>
  <w:font w:name="Calibri Light">
    <w:panose1 w:val="020F0302020204030204"/>
    <w:charset w:val="00"/>
    <w:family w:val="swiss"/>
    <w:pitch w:val="variable"/>
    <w:sig w:usb0="E4002EFF" w:usb1="C000247B" w:usb2="00000009" w:usb3="00000000" w:csb0="000001FF" w:csb1="00000000"/>
    <w:embedRegular r:id="rId12" w:fontKey="{AD498906-793C-4BCD-8169-B9581154A7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F92D" w14:textId="77777777" w:rsidR="005117DC" w:rsidRDefault="005117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4C18" w14:textId="77777777" w:rsidR="005117DC" w:rsidRDefault="005117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6C250" w14:textId="7C30C2FC" w:rsidR="005117DC" w:rsidRDefault="005B47AF">
    <w:pPr>
      <w:pStyle w:val="Footer"/>
    </w:pPr>
    <w:r w:rsidRPr="0053277E">
      <w:rPr>
        <w:noProof/>
      </w:rPr>
      <w:drawing>
        <wp:anchor distT="0" distB="0" distL="114300" distR="114300" simplePos="0" relativeHeight="251663360" behindDoc="1" locked="0" layoutInCell="1" allowOverlap="1" wp14:anchorId="2B05FA38" wp14:editId="3D9C491B">
          <wp:simplePos x="0" y="0"/>
          <wp:positionH relativeFrom="column">
            <wp:posOffset>-895347</wp:posOffset>
          </wp:positionH>
          <wp:positionV relativeFrom="paragraph">
            <wp:posOffset>-931545</wp:posOffset>
          </wp:positionV>
          <wp:extent cx="7559669" cy="143570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tretch>
                    <a:fillRect/>
                  </a:stretch>
                </pic:blipFill>
                <pic:spPr>
                  <a:xfrm>
                    <a:off x="0" y="0"/>
                    <a:ext cx="7559669" cy="143570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EC52D" w14:textId="77777777" w:rsidR="00882BB2" w:rsidRDefault="00882BB2" w:rsidP="0069435D">
      <w:pPr>
        <w:spacing w:line="240" w:lineRule="auto"/>
      </w:pPr>
      <w:r>
        <w:separator/>
      </w:r>
    </w:p>
  </w:footnote>
  <w:footnote w:type="continuationSeparator" w:id="0">
    <w:p w14:paraId="3A97B436" w14:textId="77777777" w:rsidR="00882BB2" w:rsidRDefault="00882BB2" w:rsidP="006943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D0A2" w14:textId="77777777" w:rsidR="005117DC" w:rsidRDefault="005117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D820" w14:textId="4CEB3F9D" w:rsidR="0069435D" w:rsidRDefault="0069435D">
    <w:pPr>
      <w:pStyle w:val="Header"/>
    </w:pPr>
    <w:r>
      <w:rPr>
        <w:noProof/>
      </w:rPr>
      <w:drawing>
        <wp:anchor distT="0" distB="0" distL="114300" distR="114300" simplePos="0" relativeHeight="251657215" behindDoc="1" locked="1" layoutInCell="1" allowOverlap="1" wp14:anchorId="28E2A056" wp14:editId="71A5EFAE">
          <wp:simplePos x="0" y="0"/>
          <wp:positionH relativeFrom="column">
            <wp:posOffset>-896470</wp:posOffset>
          </wp:positionH>
          <wp:positionV relativeFrom="page">
            <wp:posOffset>10795</wp:posOffset>
          </wp:positionV>
          <wp:extent cx="7534800" cy="10663200"/>
          <wp:effectExtent l="0" t="0" r="0" b="5080"/>
          <wp:wrapNone/>
          <wp:docPr id="27"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4800" cy="10663200"/>
                  </a:xfrm>
                  <a:prstGeom prst="rect">
                    <a:avLst/>
                  </a:prstGeom>
                </pic:spPr>
              </pic:pic>
            </a:graphicData>
          </a:graphic>
          <wp14:sizeRelH relativeFrom="page">
            <wp14:pctWidth>0</wp14:pctWidth>
          </wp14:sizeRelH>
          <wp14:sizeRelV relativeFrom="page">
            <wp14:pctHeight>0</wp14:pctHeight>
          </wp14:sizeRelV>
        </wp:anchor>
      </w:drawing>
    </w:r>
    <w:r w:rsidR="0053277E">
      <w:rPr>
        <w:noProof/>
      </w:rPr>
      <w:drawing>
        <wp:anchor distT="0" distB="0" distL="114300" distR="114300" simplePos="0" relativeHeight="251665408" behindDoc="1" locked="1" layoutInCell="1" allowOverlap="1" wp14:anchorId="77F43B1B" wp14:editId="56CE427A">
          <wp:simplePos x="0" y="0"/>
          <wp:positionH relativeFrom="page">
            <wp:posOffset>252095</wp:posOffset>
          </wp:positionH>
          <wp:positionV relativeFrom="page">
            <wp:posOffset>252095</wp:posOffset>
          </wp:positionV>
          <wp:extent cx="1764000" cy="1094400"/>
          <wp:effectExtent l="0" t="0" r="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64000" cy="109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BAC58" w14:textId="7A2F1B21" w:rsidR="00842E82" w:rsidRDefault="0053277E">
    <w:pPr>
      <w:pStyle w:val="Header"/>
    </w:pPr>
    <w:r w:rsidRPr="0053277E">
      <w:rPr>
        <w:noProof/>
      </w:rPr>
      <w:drawing>
        <wp:anchor distT="0" distB="0" distL="114300" distR="114300" simplePos="0" relativeHeight="251661312" behindDoc="1" locked="1" layoutInCell="1" allowOverlap="1" wp14:anchorId="57AA5AD1" wp14:editId="0E3E8BBC">
          <wp:simplePos x="0" y="0"/>
          <wp:positionH relativeFrom="column">
            <wp:posOffset>-896620</wp:posOffset>
          </wp:positionH>
          <wp:positionV relativeFrom="page">
            <wp:posOffset>10160</wp:posOffset>
          </wp:positionV>
          <wp:extent cx="7534275" cy="10662920"/>
          <wp:effectExtent l="0" t="0" r="0" b="5080"/>
          <wp:wrapNone/>
          <wp:docPr id="29" name="Picture 2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4275" cy="10662920"/>
                  </a:xfrm>
                  <a:prstGeom prst="rect">
                    <a:avLst/>
                  </a:prstGeom>
                </pic:spPr>
              </pic:pic>
            </a:graphicData>
          </a:graphic>
          <wp14:sizeRelH relativeFrom="page">
            <wp14:pctWidth>0</wp14:pctWidth>
          </wp14:sizeRelH>
          <wp14:sizeRelV relativeFrom="page">
            <wp14:pctHeight>0</wp14:pctHeight>
          </wp14:sizeRelV>
        </wp:anchor>
      </w:drawing>
    </w:r>
    <w:r w:rsidRPr="0053277E">
      <w:rPr>
        <w:noProof/>
      </w:rPr>
      <w:drawing>
        <wp:anchor distT="0" distB="0" distL="114300" distR="114300" simplePos="0" relativeHeight="251662336" behindDoc="1" locked="1" layoutInCell="1" allowOverlap="1" wp14:anchorId="4AFDB504" wp14:editId="5536C854">
          <wp:simplePos x="0" y="0"/>
          <wp:positionH relativeFrom="page">
            <wp:posOffset>251460</wp:posOffset>
          </wp:positionH>
          <wp:positionV relativeFrom="page">
            <wp:posOffset>251460</wp:posOffset>
          </wp:positionV>
          <wp:extent cx="2120400" cy="1094400"/>
          <wp:effectExtent l="0" t="0" r="0" b="0"/>
          <wp:wrapNone/>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20400" cy="109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25CD5"/>
    <w:multiLevelType w:val="multilevel"/>
    <w:tmpl w:val="E6AA8FE0"/>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6445F49"/>
    <w:multiLevelType w:val="multilevel"/>
    <w:tmpl w:val="796C9B98"/>
    <w:lvl w:ilvl="0">
      <w:start w:val="3"/>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505"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286B0B"/>
    <w:multiLevelType w:val="multilevel"/>
    <w:tmpl w:val="F348DA4E"/>
    <w:lvl w:ilvl="0">
      <w:start w:val="1"/>
      <w:numFmt w:val="decimal"/>
      <w:lvlText w:val="%1."/>
      <w:lvlJc w:val="left"/>
      <w:pPr>
        <w:ind w:left="851" w:hanging="851"/>
      </w:pPr>
      <w:rPr>
        <w:rFonts w:ascii="Montserrat Light" w:hAnsi="Montserrat Light" w:hint="default"/>
      </w:rPr>
    </w:lvl>
    <w:lvl w:ilvl="1">
      <w:start w:val="1"/>
      <w:numFmt w:val="decimal"/>
      <w:lvlText w:val="%1.%2."/>
      <w:lvlJc w:val="left"/>
      <w:pPr>
        <w:ind w:left="851" w:hanging="851"/>
      </w:pPr>
      <w:rPr>
        <w:b w:val="0"/>
        <w:bCs w:val="0"/>
      </w:rPr>
    </w:lvl>
    <w:lvl w:ilvl="2">
      <w:start w:val="1"/>
      <w:numFmt w:val="decimal"/>
      <w:lvlText w:val="%1.%2.%3."/>
      <w:lvlJc w:val="left"/>
      <w:pPr>
        <w:ind w:left="851" w:hanging="851"/>
      </w:pPr>
    </w:lvl>
    <w:lvl w:ilvl="3">
      <w:start w:val="1"/>
      <w:numFmt w:val="lowerRoman"/>
      <w:lvlText w:val="%4."/>
      <w:lvlJc w:val="left"/>
      <w:pPr>
        <w:ind w:left="1134" w:hanging="794"/>
      </w:pPr>
    </w:lvl>
    <w:lvl w:ilvl="4">
      <w:start w:val="1"/>
      <w:numFmt w:val="bullet"/>
      <w:lvlText w:val=""/>
      <w:lvlJc w:val="left"/>
      <w:pPr>
        <w:ind w:left="1247" w:hanging="907"/>
      </w:pPr>
      <w:rPr>
        <w:rFonts w:ascii="Symbol" w:hAnsi="Symbol" w:hint="default"/>
        <w:color w:val="auto"/>
      </w:rPr>
    </w:lvl>
    <w:lvl w:ilvl="5">
      <w:start w:val="1"/>
      <w:numFmt w:val="none"/>
      <w:lvlText w:val=""/>
      <w:lvlJc w:val="left"/>
      <w:pPr>
        <w:ind w:left="851" w:hanging="851"/>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561D06"/>
    <w:multiLevelType w:val="hybridMultilevel"/>
    <w:tmpl w:val="05D2B982"/>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780476">
    <w:abstractNumId w:val="2"/>
  </w:num>
  <w:num w:numId="2" w16cid:durableId="1699240120">
    <w:abstractNumId w:val="0"/>
  </w:num>
  <w:num w:numId="3" w16cid:durableId="1437944173">
    <w:abstractNumId w:val="1"/>
  </w:num>
  <w:num w:numId="4" w16cid:durableId="632442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35D"/>
    <w:rsid w:val="000574DE"/>
    <w:rsid w:val="000655C6"/>
    <w:rsid w:val="00210AD4"/>
    <w:rsid w:val="00347E1C"/>
    <w:rsid w:val="00365809"/>
    <w:rsid w:val="003D4B62"/>
    <w:rsid w:val="004A36E1"/>
    <w:rsid w:val="005117DC"/>
    <w:rsid w:val="0053277E"/>
    <w:rsid w:val="005A3BE7"/>
    <w:rsid w:val="005B36C0"/>
    <w:rsid w:val="005B47AF"/>
    <w:rsid w:val="0069435D"/>
    <w:rsid w:val="007D5510"/>
    <w:rsid w:val="00842E82"/>
    <w:rsid w:val="00882BB2"/>
    <w:rsid w:val="008B311F"/>
    <w:rsid w:val="00954639"/>
    <w:rsid w:val="00997627"/>
    <w:rsid w:val="009B4466"/>
    <w:rsid w:val="009C30CB"/>
    <w:rsid w:val="009C588C"/>
    <w:rsid w:val="009E29CB"/>
    <w:rsid w:val="009F2378"/>
    <w:rsid w:val="00AE7762"/>
    <w:rsid w:val="00B10C3C"/>
    <w:rsid w:val="00B53935"/>
    <w:rsid w:val="00E05E34"/>
    <w:rsid w:val="00F17D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0654E"/>
  <w15:chartTrackingRefBased/>
  <w15:docId w15:val="{B9666F52-7B45-7842-A67D-EFEB06670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809"/>
    <w:pPr>
      <w:spacing w:line="320" w:lineRule="exact"/>
    </w:pPr>
    <w:rPr>
      <w:rFonts w:ascii="Noto Sans" w:hAnsi="Noto San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MA Table Grid"/>
    <w:basedOn w:val="TableNormal"/>
    <w:uiPriority w:val="39"/>
    <w:rsid w:val="009C30CB"/>
    <w:rPr>
      <w:rFonts w:ascii="Noto Sans" w:eastAsia="Times New Roman" w:hAnsi="Noto Sans" w:cs="Times New Roman"/>
      <w:color w:val="000000"/>
      <w:sz w:val="20"/>
      <w:szCs w:val="20"/>
      <w:lang w:eastAsia="en-GB"/>
    </w:rPr>
    <w:tblPr>
      <w:tblStyleRowBandSize w:val="1"/>
      <w:tblStyleColBandSize w:val="1"/>
      <w:tblBorders>
        <w:top w:val="single" w:sz="4" w:space="0" w:color="F8AA00"/>
        <w:left w:val="single" w:sz="4" w:space="0" w:color="F8AA00"/>
        <w:bottom w:val="single" w:sz="4" w:space="0" w:color="F8AA00"/>
        <w:right w:val="single" w:sz="4" w:space="0" w:color="F8AA00"/>
        <w:insideH w:val="single" w:sz="4" w:space="0" w:color="F8AA00"/>
        <w:insideV w:val="single" w:sz="4" w:space="0" w:color="F8AA00"/>
      </w:tblBorders>
      <w:tblCellMar>
        <w:top w:w="28" w:type="dxa"/>
        <w:bottom w:w="28" w:type="dxa"/>
      </w:tblCellMar>
    </w:tblPr>
    <w:tblStylePr w:type="firstRow">
      <w:pPr>
        <w:jc w:val="center"/>
      </w:pPr>
      <w:rPr>
        <w:rFonts w:ascii="Montserrat" w:hAnsi="Montserrat"/>
        <w:b/>
        <w:i w:val="0"/>
        <w:color w:val="00778D"/>
        <w:sz w:val="20"/>
      </w:rPr>
      <w:tblPr/>
      <w:tcPr>
        <w:tcBorders>
          <w:top w:val="single" w:sz="4" w:space="0" w:color="F8AA00"/>
          <w:left w:val="single" w:sz="4" w:space="0" w:color="F8AA00"/>
          <w:bottom w:val="single" w:sz="4" w:space="0" w:color="F8AA00"/>
          <w:right w:val="single" w:sz="4" w:space="0" w:color="F8AA00"/>
          <w:insideH w:val="single" w:sz="4" w:space="0" w:color="F8AA00"/>
          <w:insideV w:val="single" w:sz="4" w:space="0" w:color="F8AA00"/>
        </w:tcBorders>
        <w:shd w:val="clear" w:color="auto" w:fill="F8AA00"/>
        <w:vAlign w:val="center"/>
      </w:tcPr>
    </w:tblStylePr>
    <w:tblStylePr w:type="firstCol">
      <w:rPr>
        <w:color w:val="00778D"/>
        <w:sz w:val="20"/>
      </w:rPr>
      <w:tblPr/>
      <w:tcPr>
        <w:tcBorders>
          <w:top w:val="single" w:sz="4" w:space="0" w:color="F8AA00"/>
          <w:left w:val="single" w:sz="4" w:space="0" w:color="F8AA00"/>
          <w:bottom w:val="single" w:sz="4" w:space="0" w:color="F8AA00"/>
          <w:right w:val="single" w:sz="4" w:space="0" w:color="F8AA00"/>
          <w:insideH w:val="single" w:sz="4" w:space="0" w:color="F8AA00"/>
          <w:insideV w:val="single" w:sz="4" w:space="0" w:color="F8AA00"/>
        </w:tcBorders>
        <w:shd w:val="clear" w:color="auto" w:fill="FDCD79"/>
      </w:tcPr>
    </w:tblStylePr>
    <w:tblStylePr w:type="band1Vert">
      <w:rPr>
        <w:color w:val="00778D"/>
      </w:rPr>
      <w:tblPr/>
      <w:tcPr>
        <w:tcBorders>
          <w:top w:val="single" w:sz="4" w:space="0" w:color="FDCD79"/>
          <w:left w:val="single" w:sz="4" w:space="0" w:color="FDCD79"/>
          <w:bottom w:val="single" w:sz="4" w:space="0" w:color="FDCD79"/>
          <w:right w:val="single" w:sz="4" w:space="0" w:color="FDCD79"/>
          <w:insideH w:val="single" w:sz="4" w:space="0" w:color="FDCD79"/>
          <w:insideV w:val="single" w:sz="4" w:space="0" w:color="FDCD79"/>
        </w:tcBorders>
      </w:tcPr>
    </w:tblStylePr>
    <w:tblStylePr w:type="band2Vert">
      <w:rPr>
        <w:color w:val="00778D"/>
      </w:rPr>
      <w:tblPr/>
      <w:tcPr>
        <w:tcBorders>
          <w:top w:val="single" w:sz="4" w:space="0" w:color="F8AA00"/>
          <w:left w:val="single" w:sz="4" w:space="0" w:color="F8AA00"/>
          <w:bottom w:val="single" w:sz="4" w:space="0" w:color="F8AA00"/>
          <w:right w:val="single" w:sz="4" w:space="0" w:color="F8AA00"/>
          <w:insideH w:val="single" w:sz="4" w:space="0" w:color="F8AA00"/>
          <w:insideV w:val="single" w:sz="4" w:space="0" w:color="F8AA00"/>
        </w:tcBorders>
      </w:tcPr>
    </w:tblStylePr>
    <w:tblStylePr w:type="band1Horz">
      <w:rPr>
        <w:rFonts w:ascii="Noto Sans" w:hAnsi="Noto Sans"/>
        <w:b w:val="0"/>
        <w:i w:val="0"/>
        <w:color w:val="00778D"/>
        <w:sz w:val="20"/>
      </w:rPr>
      <w:tblPr/>
      <w:tcPr>
        <w:tcBorders>
          <w:top w:val="single" w:sz="4" w:space="0" w:color="F8AA00"/>
          <w:left w:val="single" w:sz="4" w:space="0" w:color="F8AA00"/>
          <w:bottom w:val="single" w:sz="4" w:space="0" w:color="F8AA00"/>
          <w:right w:val="single" w:sz="4" w:space="0" w:color="F8AA00"/>
          <w:insideH w:val="single" w:sz="4" w:space="0" w:color="F8AA00"/>
          <w:insideV w:val="single" w:sz="4" w:space="0" w:color="F8AA00"/>
        </w:tcBorders>
        <w:shd w:val="clear" w:color="auto" w:fill="FFEED5"/>
      </w:tcPr>
    </w:tblStylePr>
  </w:style>
  <w:style w:type="paragraph" w:customStyle="1" w:styleId="DefinitionsTitle">
    <w:name w:val="Definitions Title"/>
    <w:basedOn w:val="Normal"/>
    <w:autoRedefine/>
    <w:qFormat/>
    <w:rsid w:val="00F17D5C"/>
    <w:pPr>
      <w:spacing w:line="276" w:lineRule="auto"/>
      <w:ind w:left="142"/>
    </w:pPr>
    <w:rPr>
      <w:rFonts w:eastAsia="Times New Roman" w:cs="Noto Sans"/>
      <w:i/>
      <w:szCs w:val="20"/>
      <w:lang w:eastAsia="en-GB"/>
    </w:rPr>
  </w:style>
  <w:style w:type="paragraph" w:customStyle="1" w:styleId="DefinitionsExplanation">
    <w:name w:val="Definitions Explanation"/>
    <w:basedOn w:val="Normal"/>
    <w:autoRedefine/>
    <w:qFormat/>
    <w:rsid w:val="00F17D5C"/>
    <w:pPr>
      <w:spacing w:line="276" w:lineRule="auto"/>
      <w:ind w:left="175"/>
      <w:jc w:val="both"/>
    </w:pPr>
    <w:rPr>
      <w:rFonts w:eastAsia="Times New Roman" w:cs="Noto Sans"/>
      <w:szCs w:val="20"/>
      <w:lang w:eastAsia="en-GB"/>
    </w:rPr>
  </w:style>
  <w:style w:type="paragraph" w:styleId="Header">
    <w:name w:val="header"/>
    <w:basedOn w:val="Normal"/>
    <w:link w:val="HeaderChar"/>
    <w:uiPriority w:val="99"/>
    <w:unhideWhenUsed/>
    <w:rsid w:val="0069435D"/>
    <w:pPr>
      <w:tabs>
        <w:tab w:val="center" w:pos="4513"/>
        <w:tab w:val="right" w:pos="9026"/>
      </w:tabs>
    </w:pPr>
  </w:style>
  <w:style w:type="character" w:customStyle="1" w:styleId="HeaderChar">
    <w:name w:val="Header Char"/>
    <w:basedOn w:val="DefaultParagraphFont"/>
    <w:link w:val="Header"/>
    <w:uiPriority w:val="99"/>
    <w:rsid w:val="0069435D"/>
  </w:style>
  <w:style w:type="paragraph" w:styleId="Footer">
    <w:name w:val="footer"/>
    <w:basedOn w:val="Normal"/>
    <w:link w:val="FooterChar"/>
    <w:uiPriority w:val="99"/>
    <w:unhideWhenUsed/>
    <w:rsid w:val="0069435D"/>
    <w:pPr>
      <w:tabs>
        <w:tab w:val="center" w:pos="4513"/>
        <w:tab w:val="right" w:pos="9026"/>
      </w:tabs>
    </w:pPr>
  </w:style>
  <w:style w:type="character" w:customStyle="1" w:styleId="FooterChar">
    <w:name w:val="Footer Char"/>
    <w:basedOn w:val="DefaultParagraphFont"/>
    <w:link w:val="Footer"/>
    <w:uiPriority w:val="99"/>
    <w:rsid w:val="0069435D"/>
  </w:style>
  <w:style w:type="character" w:styleId="CommentReference">
    <w:name w:val="annotation reference"/>
    <w:basedOn w:val="DefaultParagraphFont"/>
    <w:uiPriority w:val="99"/>
    <w:semiHidden/>
    <w:unhideWhenUsed/>
    <w:rsid w:val="00AE7762"/>
    <w:rPr>
      <w:sz w:val="16"/>
      <w:szCs w:val="16"/>
    </w:rPr>
  </w:style>
  <w:style w:type="paragraph" w:styleId="CommentText">
    <w:name w:val="annotation text"/>
    <w:basedOn w:val="Normal"/>
    <w:link w:val="CommentTextChar"/>
    <w:uiPriority w:val="99"/>
    <w:unhideWhenUsed/>
    <w:rsid w:val="00AE7762"/>
    <w:pPr>
      <w:spacing w:line="240" w:lineRule="auto"/>
    </w:pPr>
    <w:rPr>
      <w:szCs w:val="20"/>
    </w:rPr>
  </w:style>
  <w:style w:type="character" w:customStyle="1" w:styleId="CommentTextChar">
    <w:name w:val="Comment Text Char"/>
    <w:basedOn w:val="DefaultParagraphFont"/>
    <w:link w:val="CommentText"/>
    <w:uiPriority w:val="99"/>
    <w:rsid w:val="00AE7762"/>
    <w:rPr>
      <w:rFonts w:ascii="Noto Sans" w:hAnsi="Noto San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ahamasmaritime-my.sharepoint.com/personal/ijones_bahamasmaritime_com/Documents/OneDrive%20-%20The%20Bahamas%20Maritime%20Authority/Desktop/THE%20BMA%20APPROVED%20DMLC-%20PART%20II%20-%2026%20July%202022.doc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EA65E76458FBE4FB2990ED606B30BFA" ma:contentTypeVersion="9" ma:contentTypeDescription="Create a new document." ma:contentTypeScope="" ma:versionID="cfcf0e165b64eca891783f2997ed682b">
  <xsd:schema xmlns:xsd="http://www.w3.org/2001/XMLSchema" xmlns:xs="http://www.w3.org/2001/XMLSchema" xmlns:p="http://schemas.microsoft.com/office/2006/metadata/properties" xmlns:ns2="d5b7df1f-8914-469d-8b44-016d3b7455e8" targetNamespace="http://schemas.microsoft.com/office/2006/metadata/properties" ma:root="true" ma:fieldsID="685946e934858907a676e86770fc9fb5" ns2:_="">
    <xsd:import namespace="d5b7df1f-8914-469d-8b44-016d3b7455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7df1f-8914-469d-8b44-016d3b7455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C729DC-7E6A-F140-91A7-FE5B09F1BAE4}">
  <ds:schemaRefs>
    <ds:schemaRef ds:uri="http://schemas.openxmlformats.org/officeDocument/2006/bibliography"/>
  </ds:schemaRefs>
</ds:datastoreItem>
</file>

<file path=customXml/itemProps2.xml><?xml version="1.0" encoding="utf-8"?>
<ds:datastoreItem xmlns:ds="http://schemas.openxmlformats.org/officeDocument/2006/customXml" ds:itemID="{C669ED14-FEC4-485D-804D-4B42B265A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b7df1f-8914-469d-8b44-016d3b745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5D0952-33E8-4374-8D5A-F4B977FE94EF}">
  <ds:schemaRefs>
    <ds:schemaRef ds:uri="d5b7df1f-8914-469d-8b44-016d3b7455e8"/>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2740282-78AA-4AD7-991A-F849B78BB5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764</Words>
  <Characters>4361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Woodger</dc:creator>
  <cp:keywords/>
  <dc:description/>
  <cp:lastModifiedBy>Isabella Jones</cp:lastModifiedBy>
  <cp:revision>2</cp:revision>
  <dcterms:created xsi:type="dcterms:W3CDTF">2022-11-09T15:23:00Z</dcterms:created>
  <dcterms:modified xsi:type="dcterms:W3CDTF">2022-11-09T15:23:00Z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0x0101006EA65E76458FBE4FB2990ED606B30BFA</vt:lpwstr>
  </property>
</Properties>
</file>